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F468D" w:rsidRPr="00EA0DF3" w:rsidRDefault="00500EC9">
      <w:pPr>
        <w:jc w:val="center"/>
        <w:rPr>
          <w:rFonts w:asciiTheme="majorHAnsi" w:eastAsia="Century Gothic" w:hAnsiTheme="majorHAnsi" w:cstheme="majorHAnsi"/>
          <w:b/>
          <w:sz w:val="28"/>
          <w:szCs w:val="28"/>
        </w:rPr>
      </w:pPr>
      <w:r w:rsidRPr="00EA0DF3">
        <w:rPr>
          <w:rFonts w:asciiTheme="majorHAnsi" w:eastAsia="Century Gothic" w:hAnsiTheme="majorHAnsi" w:cstheme="majorHAnsi"/>
          <w:b/>
          <w:sz w:val="28"/>
          <w:szCs w:val="28"/>
          <w:u w:val="single"/>
        </w:rPr>
        <w:t>SBA EIDL (Injury Disaster Loans) Preparation Checklist</w:t>
      </w:r>
    </w:p>
    <w:p w14:paraId="00000002" w14:textId="77777777" w:rsidR="007F468D" w:rsidRPr="00EA0DF3" w:rsidRDefault="007F468D">
      <w:pPr>
        <w:rPr>
          <w:rFonts w:asciiTheme="majorHAnsi" w:eastAsia="Century Gothic" w:hAnsiTheme="majorHAnsi" w:cstheme="majorHAnsi"/>
          <w:sz w:val="20"/>
          <w:szCs w:val="20"/>
        </w:rPr>
      </w:pPr>
    </w:p>
    <w:p w14:paraId="00000003" w14:textId="77777777" w:rsidR="007F468D" w:rsidRPr="00EA0DF3" w:rsidRDefault="00500EC9">
      <w:pPr>
        <w:numPr>
          <w:ilvl w:val="0"/>
          <w:numId w:val="1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b/>
          <w:sz w:val="24"/>
          <w:szCs w:val="24"/>
        </w:rPr>
        <w:t>NOW</w:t>
      </w: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 . . . is the best time to start the application process while getting required documents together</w:t>
      </w:r>
    </w:p>
    <w:p w14:paraId="00000004" w14:textId="77777777" w:rsidR="007F468D" w:rsidRPr="00EA0DF3" w:rsidRDefault="00500EC9">
      <w:pPr>
        <w:numPr>
          <w:ilvl w:val="0"/>
          <w:numId w:val="1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Business overview, staff, names and compensation, daily revenue, weekly, monthly and annually (client traffic amounts) </w:t>
      </w:r>
    </w:p>
    <w:p w14:paraId="00000005" w14:textId="77777777" w:rsidR="007F468D" w:rsidRPr="00EA0DF3" w:rsidRDefault="00500EC9">
      <w:pPr>
        <w:numPr>
          <w:ilvl w:val="0"/>
          <w:numId w:val="1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>Calculate the estimated amount needed for the loan amount. Consider 6 months to 1 year of labor rates, business expenses (sellable/consu</w:t>
      </w: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mable) and payroll taxes if possible </w:t>
      </w:r>
    </w:p>
    <w:p w14:paraId="00000006" w14:textId="77777777" w:rsidR="007F468D" w:rsidRPr="00EA0DF3" w:rsidRDefault="00500EC9">
      <w:pPr>
        <w:numPr>
          <w:ilvl w:val="0"/>
          <w:numId w:val="1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>Governor has to request it to be offered in the state, but you can still start the process at SBA.gov/disaster.com</w:t>
      </w:r>
    </w:p>
    <w:p w14:paraId="00000007" w14:textId="77777777" w:rsidR="007F468D" w:rsidRPr="00EA0DF3" w:rsidRDefault="00500EC9">
      <w:pPr>
        <w:numPr>
          <w:ilvl w:val="0"/>
          <w:numId w:val="1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If you’re confused, SBA has free, confidential, technical management counseling through the nationwide </w:t>
      </w:r>
      <w:r w:rsidRPr="00EA0DF3">
        <w:rPr>
          <w:rFonts w:asciiTheme="majorHAnsi" w:eastAsia="Century Gothic" w:hAnsiTheme="majorHAnsi" w:cstheme="majorHAnsi"/>
          <w:sz w:val="24"/>
          <w:szCs w:val="24"/>
        </w:rPr>
        <w:t>network of SCORE chapters, small business development centers, women’s business development centers, and veteran’s business outreach centers</w:t>
      </w:r>
    </w:p>
    <w:p w14:paraId="00000008" w14:textId="77777777" w:rsidR="007F468D" w:rsidRPr="00EA0DF3" w:rsidRDefault="00500EC9">
      <w:pPr>
        <w:numPr>
          <w:ilvl w:val="0"/>
          <w:numId w:val="1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Understand that not every business qualifies. </w:t>
      </w:r>
    </w:p>
    <w:p w14:paraId="00000009" w14:textId="77777777" w:rsidR="007F468D" w:rsidRPr="00EA0DF3" w:rsidRDefault="00500EC9">
      <w:pPr>
        <w:numPr>
          <w:ilvl w:val="0"/>
          <w:numId w:val="1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>The criteria are always stringent however, there is a new relaxed ap</w:t>
      </w:r>
      <w:r w:rsidRPr="00EA0DF3">
        <w:rPr>
          <w:rFonts w:asciiTheme="majorHAnsi" w:eastAsia="Century Gothic" w:hAnsiTheme="majorHAnsi" w:cstheme="majorHAnsi"/>
          <w:sz w:val="24"/>
          <w:szCs w:val="24"/>
        </w:rPr>
        <w:t>proach on the criteria</w:t>
      </w:r>
    </w:p>
    <w:p w14:paraId="0000000A" w14:textId="77777777" w:rsidR="007F468D" w:rsidRPr="00EA0DF3" w:rsidRDefault="00500EC9">
      <w:pPr>
        <w:numPr>
          <w:ilvl w:val="0"/>
          <w:numId w:val="1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>There is a number on the website to walk you through the process</w:t>
      </w:r>
    </w:p>
    <w:p w14:paraId="0000000B" w14:textId="77777777" w:rsidR="007F468D" w:rsidRPr="00EA0DF3" w:rsidRDefault="00500EC9">
      <w:pPr>
        <w:numPr>
          <w:ilvl w:val="0"/>
          <w:numId w:val="1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>Use the SBA fact sheets to get through the process (found on website)</w:t>
      </w:r>
    </w:p>
    <w:p w14:paraId="0000000C" w14:textId="77777777" w:rsidR="007F468D" w:rsidRPr="00EA0DF3" w:rsidRDefault="00500EC9">
      <w:pPr>
        <w:numPr>
          <w:ilvl w:val="0"/>
          <w:numId w:val="1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>SBA has a lender finder tool to create a lender match - Free. Ask a SCORE mentor or SBA rep.</w:t>
      </w:r>
    </w:p>
    <w:p w14:paraId="0000000D" w14:textId="77777777" w:rsidR="007F468D" w:rsidRPr="00EA0DF3" w:rsidRDefault="00500EC9">
      <w:pPr>
        <w:numPr>
          <w:ilvl w:val="0"/>
          <w:numId w:val="1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Time </w:t>
      </w:r>
      <w:r w:rsidRPr="00EA0DF3">
        <w:rPr>
          <w:rFonts w:asciiTheme="majorHAnsi" w:eastAsia="Century Gothic" w:hAnsiTheme="majorHAnsi" w:cstheme="majorHAnsi"/>
          <w:sz w:val="24"/>
          <w:szCs w:val="24"/>
        </w:rPr>
        <w:t>to gather typical loan info at this point</w:t>
      </w:r>
    </w:p>
    <w:p w14:paraId="0000000E" w14:textId="77777777" w:rsidR="007F468D" w:rsidRPr="00EA0DF3" w:rsidRDefault="00500EC9">
      <w:pPr>
        <w:numPr>
          <w:ilvl w:val="0"/>
          <w:numId w:val="2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>SBA forms 5, 2202, 413, 1368 (can be found on-line)</w:t>
      </w:r>
    </w:p>
    <w:p w14:paraId="0000000F" w14:textId="77777777" w:rsidR="007F468D" w:rsidRPr="00EA0DF3" w:rsidRDefault="00500EC9">
      <w:pPr>
        <w:numPr>
          <w:ilvl w:val="0"/>
          <w:numId w:val="2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 IRS form 4506T (can be found on-line)</w:t>
      </w:r>
    </w:p>
    <w:p w14:paraId="00000010" w14:textId="77777777" w:rsidR="007F468D" w:rsidRPr="00EA0DF3" w:rsidRDefault="00500EC9">
      <w:pPr>
        <w:numPr>
          <w:ilvl w:val="0"/>
          <w:numId w:val="2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>Most recent federal income tax returns for principals, general partners, managing members &amp; affiliates - include tax schedu</w:t>
      </w: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les </w:t>
      </w:r>
    </w:p>
    <w:p w14:paraId="00000011" w14:textId="77777777" w:rsidR="007F468D" w:rsidRPr="00EA0DF3" w:rsidRDefault="00500EC9">
      <w:pPr>
        <w:numPr>
          <w:ilvl w:val="0"/>
          <w:numId w:val="2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>May need year end P&amp;Ls (income statements)</w:t>
      </w:r>
    </w:p>
    <w:p w14:paraId="00000012" w14:textId="77777777" w:rsidR="007F468D" w:rsidRPr="00EA0DF3" w:rsidRDefault="00500EC9">
      <w:pPr>
        <w:numPr>
          <w:ilvl w:val="0"/>
          <w:numId w:val="2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 6 months of bank statements if tax returns haven’t been filed </w:t>
      </w:r>
    </w:p>
    <w:p w14:paraId="2604BAB9" w14:textId="77777777" w:rsidR="00EA0DF3" w:rsidRDefault="00EA0DF3">
      <w:pPr>
        <w:rPr>
          <w:rFonts w:asciiTheme="majorHAnsi" w:eastAsia="Century Gothic" w:hAnsiTheme="majorHAnsi" w:cstheme="majorHAnsi"/>
          <w:sz w:val="24"/>
          <w:szCs w:val="24"/>
        </w:rPr>
      </w:pPr>
    </w:p>
    <w:p w14:paraId="00000016" w14:textId="24067008" w:rsidR="007F468D" w:rsidRPr="00EA0DF3" w:rsidRDefault="00500EC9">
      <w:pPr>
        <w:rPr>
          <w:rFonts w:asciiTheme="majorHAnsi" w:eastAsia="Century Gothic" w:hAnsiTheme="majorHAnsi" w:cstheme="majorHAnsi"/>
          <w:b/>
          <w:sz w:val="28"/>
          <w:szCs w:val="28"/>
          <w:u w:val="single"/>
        </w:rPr>
      </w:pPr>
      <w:r w:rsidRPr="00EA0DF3">
        <w:rPr>
          <w:rFonts w:asciiTheme="majorHAnsi" w:eastAsia="Century Gothic" w:hAnsiTheme="majorHAnsi" w:cstheme="majorHAnsi"/>
          <w:b/>
          <w:sz w:val="28"/>
          <w:szCs w:val="28"/>
          <w:u w:val="single"/>
        </w:rPr>
        <w:lastRenderedPageBreak/>
        <w:t>Sub-Prime Loans for Non-Qualifying Business Owners</w:t>
      </w:r>
    </w:p>
    <w:p w14:paraId="00000017" w14:textId="77777777" w:rsidR="007F468D" w:rsidRPr="00EA0DF3" w:rsidRDefault="007F468D">
      <w:pPr>
        <w:rPr>
          <w:rFonts w:asciiTheme="majorHAnsi" w:eastAsia="Century Gothic" w:hAnsiTheme="majorHAnsi" w:cstheme="majorHAnsi"/>
          <w:b/>
          <w:i/>
          <w:sz w:val="28"/>
          <w:szCs w:val="28"/>
          <w:u w:val="single"/>
        </w:rPr>
      </w:pPr>
    </w:p>
    <w:p w14:paraId="00000018" w14:textId="77777777" w:rsidR="007F468D" w:rsidRPr="00EA0DF3" w:rsidRDefault="00500EC9">
      <w:pPr>
        <w:numPr>
          <w:ilvl w:val="0"/>
          <w:numId w:val="3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6 months reserve is the recommendation </w:t>
      </w:r>
    </w:p>
    <w:p w14:paraId="00000019" w14:textId="77777777" w:rsidR="007F468D" w:rsidRPr="00EA0DF3" w:rsidRDefault="00500EC9">
      <w:pPr>
        <w:numPr>
          <w:ilvl w:val="0"/>
          <w:numId w:val="3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Profit &amp; Loss statements </w:t>
      </w:r>
    </w:p>
    <w:p w14:paraId="0000001A" w14:textId="77777777" w:rsidR="007F468D" w:rsidRPr="00EA0DF3" w:rsidRDefault="00500EC9">
      <w:pPr>
        <w:numPr>
          <w:ilvl w:val="0"/>
          <w:numId w:val="3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>Cash Flow statements</w:t>
      </w:r>
    </w:p>
    <w:p w14:paraId="0000001B" w14:textId="77777777" w:rsidR="007F468D" w:rsidRPr="00EA0DF3" w:rsidRDefault="00500EC9">
      <w:pPr>
        <w:numPr>
          <w:ilvl w:val="0"/>
          <w:numId w:val="3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Bank statements </w:t>
      </w:r>
    </w:p>
    <w:p w14:paraId="0000001C" w14:textId="77777777" w:rsidR="007F468D" w:rsidRPr="00EA0DF3" w:rsidRDefault="00500EC9">
      <w:pPr>
        <w:numPr>
          <w:ilvl w:val="0"/>
          <w:numId w:val="3"/>
        </w:numPr>
        <w:spacing w:line="360" w:lineRule="auto"/>
        <w:rPr>
          <w:rFonts w:asciiTheme="majorHAnsi" w:eastAsia="Century Gothic" w:hAnsiTheme="majorHAnsi" w:cstheme="majorHAnsi"/>
          <w:sz w:val="24"/>
          <w:szCs w:val="24"/>
        </w:rPr>
      </w:pPr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Business overview </w:t>
      </w:r>
    </w:p>
    <w:p w14:paraId="0000001D" w14:textId="77777777" w:rsidR="007F468D" w:rsidRPr="00EA0DF3" w:rsidRDefault="007F468D">
      <w:pPr>
        <w:rPr>
          <w:rFonts w:asciiTheme="majorHAnsi" w:eastAsia="Century Gothic" w:hAnsiTheme="majorHAnsi" w:cstheme="majorHAnsi"/>
          <w:sz w:val="24"/>
          <w:szCs w:val="24"/>
        </w:rPr>
      </w:pPr>
    </w:p>
    <w:p w14:paraId="00000030" w14:textId="2379F2F7" w:rsidR="007F468D" w:rsidRPr="00EA0DF3" w:rsidRDefault="00500EC9">
      <w:pPr>
        <w:rPr>
          <w:rFonts w:asciiTheme="majorHAnsi" w:eastAsia="Century Gothic" w:hAnsiTheme="majorHAnsi" w:cstheme="majorHAnsi"/>
          <w:sz w:val="24"/>
          <w:szCs w:val="24"/>
        </w:rPr>
      </w:pPr>
      <w:bookmarkStart w:id="0" w:name="_GoBack"/>
      <w:bookmarkEnd w:id="0"/>
      <w:r w:rsidRPr="00EA0DF3">
        <w:rPr>
          <w:rFonts w:asciiTheme="majorHAnsi" w:eastAsia="Century Gothic" w:hAnsiTheme="majorHAnsi" w:cstheme="majorHAnsi"/>
          <w:sz w:val="24"/>
          <w:szCs w:val="24"/>
        </w:rPr>
        <w:t xml:space="preserve"> </w:t>
      </w:r>
    </w:p>
    <w:sectPr w:rsidR="007F468D" w:rsidRPr="00EA0DF3" w:rsidSect="003C5CD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33E49"/>
    <w:multiLevelType w:val="multilevel"/>
    <w:tmpl w:val="5DA294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465F9F"/>
    <w:multiLevelType w:val="multilevel"/>
    <w:tmpl w:val="3DCAD36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169555B"/>
    <w:multiLevelType w:val="multilevel"/>
    <w:tmpl w:val="AC8052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68D"/>
    <w:rsid w:val="003C5CD6"/>
    <w:rsid w:val="00500EC9"/>
    <w:rsid w:val="007F468D"/>
    <w:rsid w:val="008E4408"/>
    <w:rsid w:val="00E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53671"/>
  <w15:docId w15:val="{74EF20E6-D59D-4BCC-8F43-5A9E407E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Gomez</dc:creator>
  <cp:lastModifiedBy>Steve Gomez</cp:lastModifiedBy>
  <cp:revision>5</cp:revision>
  <dcterms:created xsi:type="dcterms:W3CDTF">2020-03-20T16:09:00Z</dcterms:created>
  <dcterms:modified xsi:type="dcterms:W3CDTF">2020-03-20T17:45:00Z</dcterms:modified>
</cp:coreProperties>
</file>